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方正仿宋简体"/>
          <w:b/>
        </w:rPr>
      </w:pPr>
    </w:p>
    <w:p>
      <w:pPr>
        <w:jc w:val="center"/>
        <w:rPr>
          <w:rFonts w:hint="eastAsia" w:ascii="大标宋" w:hAnsi="大标宋" w:eastAsia="大标宋" w:cs="大标宋"/>
          <w:b/>
          <w:bCs/>
          <w:color w:val="FF0000"/>
          <w:w w:val="40"/>
          <w:kern w:val="16"/>
          <w:sz w:val="146"/>
          <w:szCs w:val="146"/>
        </w:rPr>
      </w:pPr>
      <w:r>
        <w:rPr>
          <w:rFonts w:hint="eastAsia" w:ascii="大标宋" w:hAnsi="大标宋" w:eastAsia="大标宋" w:cs="大标宋"/>
          <w:b/>
          <w:bCs/>
          <w:color w:val="FF0000"/>
          <w:w w:val="40"/>
          <w:kern w:val="16"/>
          <w:sz w:val="146"/>
          <w:szCs w:val="146"/>
        </w:rPr>
        <w:t>济宁市经济和信息化</w:t>
      </w:r>
      <w:r>
        <w:rPr>
          <w:rFonts w:hint="eastAsia" w:ascii="大标宋" w:hAnsi="大标宋" w:eastAsia="大标宋" w:cs="大标宋"/>
          <w:b/>
          <w:bCs/>
          <w:color w:val="FF0000"/>
          <w:w w:val="40"/>
          <w:kern w:val="16"/>
          <w:sz w:val="146"/>
          <w:szCs w:val="146"/>
          <w:lang w:val="en-US" w:eastAsia="zh-CN"/>
        </w:rPr>
        <w:t>研究院</w:t>
      </w:r>
      <w:r>
        <w:rPr>
          <w:rFonts w:hint="eastAsia" w:ascii="大标宋" w:hAnsi="大标宋" w:eastAsia="大标宋" w:cs="大标宋"/>
          <w:b/>
          <w:bCs/>
          <w:color w:val="FF0000"/>
          <w:w w:val="40"/>
          <w:kern w:val="16"/>
          <w:sz w:val="146"/>
          <w:szCs w:val="146"/>
        </w:rPr>
        <w:t>文件</w:t>
      </w:r>
    </w:p>
    <w:p>
      <w:pPr>
        <w:spacing w:line="500" w:lineRule="exact"/>
        <w:jc w:val="center"/>
        <w:rPr>
          <w:rFonts w:hint="eastAsia" w:ascii="仿宋_GB2312" w:eastAsia="仿宋_GB2312"/>
          <w:b/>
          <w:w w:val="33"/>
        </w:rPr>
      </w:pPr>
    </w:p>
    <w:p>
      <w:pPr>
        <w:spacing w:line="500" w:lineRule="exact"/>
        <w:jc w:val="center"/>
        <w:rPr>
          <w:rFonts w:hint="eastAsia" w:ascii="仿宋_GB2312" w:eastAsia="仿宋_GB2312"/>
          <w:b/>
          <w:w w:val="33"/>
        </w:rPr>
      </w:pPr>
    </w:p>
    <w:p>
      <w:pPr>
        <w:spacing w:line="500" w:lineRule="exact"/>
        <w:jc w:val="center"/>
        <w:rPr>
          <w:rFonts w:hint="eastAsia" w:ascii="仿宋_GB2312" w:eastAsia="仿宋_GB2312"/>
          <w:b/>
          <w:sz w:val="32"/>
          <w:szCs w:val="32"/>
        </w:rPr>
      </w:pPr>
      <w:bookmarkStart w:id="0" w:name="OLE_LINK1"/>
      <w:r>
        <w:rPr>
          <w:rFonts w:hint="eastAsia" w:ascii="仿宋_GB2312" w:eastAsia="仿宋_GB2312"/>
          <w:b/>
          <w:sz w:val="32"/>
          <w:szCs w:val="32"/>
        </w:rPr>
        <w:t>济经信</w:t>
      </w:r>
      <w:r>
        <w:rPr>
          <w:rFonts w:hint="eastAsia" w:ascii="仿宋_GB2312" w:eastAsia="仿宋_GB2312"/>
          <w:b/>
          <w:sz w:val="32"/>
          <w:szCs w:val="32"/>
          <w:lang w:val="en-US" w:eastAsia="zh-CN"/>
        </w:rPr>
        <w:t>院</w:t>
      </w:r>
      <w:r>
        <w:rPr>
          <w:rFonts w:hint="eastAsia" w:ascii="仿宋_GB2312" w:eastAsia="仿宋_GB2312"/>
          <w:b/>
          <w:sz w:val="32"/>
          <w:szCs w:val="32"/>
        </w:rPr>
        <w:t>字〔2018〕</w:t>
      </w:r>
      <w:r>
        <w:rPr>
          <w:rFonts w:hint="eastAsia" w:ascii="仿宋_GB2312" w:eastAsia="仿宋_GB2312"/>
          <w:b/>
          <w:sz w:val="32"/>
          <w:szCs w:val="32"/>
          <w:lang w:val="en-US" w:eastAsia="zh-CN"/>
        </w:rPr>
        <w:t>1</w:t>
      </w:r>
      <w:r>
        <w:rPr>
          <w:rFonts w:hint="eastAsia" w:ascii="仿宋_GB2312" w:eastAsia="仿宋_GB2312"/>
          <w:b/>
          <w:sz w:val="32"/>
          <w:szCs w:val="32"/>
        </w:rPr>
        <w:t>号</w:t>
      </w:r>
      <w:bookmarkEnd w:id="0"/>
    </w:p>
    <w:p>
      <w:pPr>
        <w:spacing w:line="400" w:lineRule="exact"/>
        <w:jc w:val="center"/>
        <w:rPr>
          <w:rFonts w:hint="eastAsia" w:eastAsia="方正小标宋简体"/>
          <w:b/>
          <w:sz w:val="44"/>
          <w:szCs w:val="44"/>
        </w:rPr>
      </w:pPr>
      <w:r>
        <w:rPr>
          <w:rFonts w:hint="eastAsia" w:eastAsia="方正小标宋简体"/>
          <w:b/>
          <w:sz w:val="44"/>
          <w:szCs w:val="4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69850</wp:posOffset>
                </wp:positionV>
                <wp:extent cx="5687695" cy="0"/>
                <wp:effectExtent l="0" t="0" r="0" b="0"/>
                <wp:wrapNone/>
                <wp:docPr id="1" name="直线 2"/>
                <wp:cNvGraphicFramePr/>
                <a:graphic xmlns:a="http://schemas.openxmlformats.org/drawingml/2006/main">
                  <a:graphicData uri="http://schemas.microsoft.com/office/word/2010/wordprocessingShape">
                    <wps:wsp>
                      <wps:cNvCnPr/>
                      <wps:spPr>
                        <a:xfrm>
                          <a:off x="0" y="0"/>
                          <a:ext cx="568769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5.5pt;height:0pt;width:447.85pt;z-index:251658240;mso-width-relative:page;mso-height-relative:page;" filled="f" stroked="t" coordsize="21600,21600" o:gfxdata="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aLCn1wAAAAgBAAAPAAAAAAAAAAEAIAAAACIA&#10;AABkcnMvZG93bnJldi54bWxQSwECFAAUAAAACACHTuJAtAZ6xdEBAACOAwAADgAAAAAAAAABACAA&#10;AAAmAQAAZHJzL2Uyb0RvYy54bWxQSwUGAAAAAAYABgBZAQAAaQUAAAAA&#10;">
                <v:fill on="f" focussize="0,0"/>
                <v:stroke weight="1.5pt" color="#FF0000" joinstyle="round"/>
                <v:imagedata o:title=""/>
                <o:lock v:ext="edit" aspectratio="f"/>
              </v:line>
            </w:pict>
          </mc:Fallback>
        </mc:AlternateContent>
      </w:r>
    </w:p>
    <w:p>
      <w:pPr>
        <w:spacing w:line="540" w:lineRule="exact"/>
        <w:jc w:val="center"/>
        <w:rPr>
          <w:rFonts w:hint="eastAsia" w:eastAsia="方正小标宋简体"/>
          <w:b/>
          <w:sz w:val="44"/>
          <w:szCs w:val="44"/>
        </w:rPr>
      </w:pPr>
    </w:p>
    <w:p>
      <w:pPr>
        <w:spacing w:line="700" w:lineRule="exact"/>
        <w:jc w:val="center"/>
        <w:rPr>
          <w:rFonts w:hint="eastAsia" w:ascii="方正小标宋简体" w:hAnsi="华文中宋" w:eastAsia="方正小标宋简体" w:cs="华文中宋"/>
          <w:b/>
          <w:bCs/>
          <w:color w:val="000000"/>
          <w:sz w:val="44"/>
          <w:szCs w:val="44"/>
        </w:rPr>
      </w:pPr>
      <w:r>
        <w:rPr>
          <w:rFonts w:hint="eastAsia" w:ascii="方正小标宋简体" w:hAnsi="华文中宋" w:eastAsia="方正小标宋简体" w:cs="华文中宋"/>
          <w:b/>
          <w:bCs/>
          <w:color w:val="000000"/>
          <w:sz w:val="44"/>
          <w:szCs w:val="44"/>
        </w:rPr>
        <w:t>关于举办</w:t>
      </w:r>
      <w:r>
        <w:rPr>
          <w:rFonts w:hint="eastAsia" w:ascii="方正小标宋简体" w:hAnsi="华文中宋" w:eastAsia="方正小标宋简体" w:cs="华文中宋"/>
          <w:b/>
          <w:bCs/>
          <w:color w:val="000000"/>
          <w:sz w:val="44"/>
          <w:szCs w:val="44"/>
          <w:lang w:eastAsia="zh-CN"/>
        </w:rPr>
        <w:t>管理体系</w:t>
      </w:r>
      <w:r>
        <w:rPr>
          <w:rFonts w:hint="eastAsia" w:ascii="方正小标宋简体" w:hAnsi="华文中宋" w:eastAsia="方正小标宋简体" w:cs="华文中宋"/>
          <w:b/>
          <w:bCs/>
          <w:color w:val="000000"/>
          <w:sz w:val="44"/>
          <w:szCs w:val="44"/>
        </w:rPr>
        <w:t>标准内审员培训班的</w:t>
      </w:r>
    </w:p>
    <w:p>
      <w:pPr>
        <w:spacing w:line="700" w:lineRule="exact"/>
        <w:jc w:val="center"/>
        <w:rPr>
          <w:rFonts w:hint="eastAsia" w:ascii="方正小标宋简体" w:hAnsi="华文中宋" w:eastAsia="方正小标宋简体" w:cs="华文中宋"/>
          <w:b/>
          <w:bCs/>
          <w:color w:val="000000"/>
          <w:sz w:val="44"/>
          <w:szCs w:val="44"/>
        </w:rPr>
      </w:pPr>
      <w:r>
        <w:rPr>
          <w:rFonts w:hint="eastAsia" w:ascii="方正小标宋简体" w:hAnsi="华文中宋" w:eastAsia="方正小标宋简体" w:cs="华文中宋"/>
          <w:b/>
          <w:bCs/>
          <w:color w:val="000000"/>
          <w:sz w:val="44"/>
          <w:szCs w:val="44"/>
        </w:rPr>
        <w:t>通知</w:t>
      </w:r>
    </w:p>
    <w:p>
      <w:pPr>
        <w:spacing w:line="500" w:lineRule="exact"/>
        <w:rPr>
          <w:rFonts w:hint="eastAsia" w:ascii="仿宋" w:hAnsi="仿宋" w:eastAsia="仿宋" w:cs="仿宋"/>
          <w:bCs/>
          <w:sz w:val="30"/>
          <w:szCs w:val="30"/>
        </w:rPr>
      </w:pPr>
      <w:r>
        <w:rPr>
          <w:rFonts w:hint="eastAsia" w:ascii="仿宋" w:hAnsi="仿宋" w:eastAsia="仿宋" w:cs="仿宋"/>
          <w:bCs/>
          <w:sz w:val="30"/>
          <w:szCs w:val="30"/>
          <w:lang w:eastAsia="zh-CN"/>
        </w:rPr>
        <w:t>各</w:t>
      </w:r>
      <w:r>
        <w:rPr>
          <w:rFonts w:hint="eastAsia" w:ascii="仿宋" w:hAnsi="仿宋" w:eastAsia="仿宋" w:cs="仿宋"/>
          <w:bCs/>
          <w:sz w:val="30"/>
          <w:szCs w:val="30"/>
        </w:rPr>
        <w:t>有关</w:t>
      </w:r>
      <w:r>
        <w:rPr>
          <w:rFonts w:hint="eastAsia" w:ascii="仿宋" w:hAnsi="仿宋" w:eastAsia="仿宋" w:cs="仿宋"/>
          <w:bCs/>
          <w:sz w:val="30"/>
          <w:szCs w:val="30"/>
          <w:lang w:eastAsia="zh-CN"/>
        </w:rPr>
        <w:t>企业</w:t>
      </w:r>
      <w:r>
        <w:rPr>
          <w:rFonts w:hint="eastAsia" w:ascii="仿宋" w:hAnsi="仿宋" w:eastAsia="仿宋" w:cs="仿宋"/>
          <w:bCs/>
          <w:sz w:val="30"/>
          <w:szCs w:val="30"/>
        </w:rPr>
        <w:t>：</w:t>
      </w:r>
    </w:p>
    <w:p>
      <w:pPr>
        <w:spacing w:line="560" w:lineRule="exact"/>
        <w:ind w:right="281" w:rightChars="134"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为深入贯彻落实国务院《关于加强质量认证体系建设促进全面质量管理的意见》（国发〔2018〕3号）的工作部署和市经信委、市质监局《关于联合开展2018年工业质量品牌行动的通知》（济经信字〔2018〕112号），推广</w:t>
      </w:r>
      <w:r>
        <w:rPr>
          <w:rFonts w:hint="eastAsia" w:ascii="仿宋" w:hAnsi="仿宋" w:eastAsia="仿宋" w:cs="仿宋"/>
          <w:bCs/>
          <w:sz w:val="32"/>
          <w:szCs w:val="32"/>
          <w:lang w:val="en-US" w:eastAsia="zh-CN"/>
        </w:rPr>
        <w:t>ISO9000系列管理标准，引导企业健全质量管理体系，助推产品和服务质量提升的</w:t>
      </w:r>
      <w:r>
        <w:rPr>
          <w:rFonts w:hint="eastAsia" w:ascii="仿宋" w:hAnsi="仿宋" w:eastAsia="仿宋" w:cs="仿宋"/>
          <w:bCs/>
          <w:sz w:val="32"/>
          <w:szCs w:val="32"/>
          <w:lang w:eastAsia="zh-CN"/>
        </w:rPr>
        <w:t>工作要求</w:t>
      </w:r>
      <w:r>
        <w:rPr>
          <w:rFonts w:hint="eastAsia" w:ascii="仿宋" w:hAnsi="仿宋" w:eastAsia="仿宋" w:cs="仿宋"/>
          <w:bCs/>
          <w:color w:val="auto"/>
          <w:sz w:val="32"/>
          <w:szCs w:val="32"/>
          <w:lang w:eastAsia="zh-CN"/>
        </w:rPr>
        <w:t>，</w:t>
      </w:r>
      <w:r>
        <w:rPr>
          <w:rFonts w:hint="eastAsia" w:ascii="仿宋" w:hAnsi="仿宋" w:eastAsia="仿宋" w:cs="仿宋"/>
          <w:bCs/>
          <w:sz w:val="32"/>
          <w:szCs w:val="32"/>
        </w:rPr>
        <w:t>指导</w:t>
      </w:r>
      <w:r>
        <w:rPr>
          <w:rFonts w:hint="eastAsia" w:ascii="仿宋" w:hAnsi="仿宋" w:eastAsia="仿宋" w:cs="仿宋"/>
          <w:bCs/>
          <w:sz w:val="32"/>
          <w:szCs w:val="32"/>
          <w:lang w:eastAsia="zh-CN"/>
        </w:rPr>
        <w:t>企业</w:t>
      </w:r>
      <w:r>
        <w:rPr>
          <w:rFonts w:hint="eastAsia" w:ascii="仿宋" w:hAnsi="仿宋" w:eastAsia="仿宋" w:cs="仿宋"/>
          <w:bCs/>
          <w:sz w:val="32"/>
          <w:szCs w:val="32"/>
        </w:rPr>
        <w:t>建立和实施符合标准要求的质量、环境及职业健康安全管理体系</w:t>
      </w:r>
      <w:r>
        <w:rPr>
          <w:rFonts w:hint="eastAsia" w:ascii="仿宋" w:hAnsi="仿宋" w:eastAsia="仿宋" w:cs="仿宋"/>
          <w:bCs/>
          <w:sz w:val="32"/>
          <w:szCs w:val="32"/>
          <w:lang w:eastAsia="zh-CN"/>
        </w:rPr>
        <w:t>，拟于近期举办“质量、环境、</w:t>
      </w:r>
      <w:r>
        <w:rPr>
          <w:rFonts w:hint="eastAsia" w:ascii="仿宋" w:hAnsi="仿宋" w:eastAsia="仿宋" w:cs="仿宋"/>
          <w:bCs/>
          <w:sz w:val="32"/>
          <w:szCs w:val="32"/>
        </w:rPr>
        <w:t>安全管理体系内审员”培训班</w:t>
      </w:r>
      <w:r>
        <w:rPr>
          <w:rFonts w:hint="eastAsia" w:ascii="仿宋" w:hAnsi="仿宋" w:eastAsia="仿宋" w:cs="仿宋"/>
          <w:bCs/>
          <w:sz w:val="32"/>
          <w:szCs w:val="32"/>
          <w:lang w:eastAsia="zh-CN"/>
        </w:rPr>
        <w:t>。现将有关事项告知如下：</w:t>
      </w:r>
    </w:p>
    <w:p>
      <w:pPr>
        <w:numPr>
          <w:ilvl w:val="0"/>
          <w:numId w:val="1"/>
        </w:num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培训目的</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通过培训学习使学员掌握管理体系审核全过程的各项活动、审核程序和技巧，培养能承担管理体系审核任务以及能为企业提供有效审核服务的合格从业人员。</w:t>
      </w:r>
    </w:p>
    <w:p>
      <w:pPr>
        <w:numPr>
          <w:ilvl w:val="0"/>
          <w:numId w:val="1"/>
        </w:numPr>
        <w:spacing w:line="560" w:lineRule="exact"/>
        <w:ind w:left="0" w:leftChars="0"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培训对象</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 企业分管质量、环境、职业健康安全管理体系的领导、管理者代表及参与管理体系运行、实施的相关人员。</w:t>
      </w:r>
    </w:p>
    <w:p>
      <w:pPr>
        <w:numPr>
          <w:ilvl w:val="0"/>
          <w:numId w:val="1"/>
        </w:numPr>
        <w:spacing w:line="560" w:lineRule="exact"/>
        <w:ind w:left="0" w:leftChars="0"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培训讲师</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资深咨询师，具有丰富的ISO9001、ISO14001、OHSAS18001管理体系认证、审核、培训及企业相关管理经验，对标准及审核知识及管理应用非常熟练。</w:t>
      </w:r>
    </w:p>
    <w:p>
      <w:p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rPr>
        <w:t>培训内容</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、ISO9000、ISO14000、OHSAS18000系列标准产生的背景及过程；</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二）</w:t>
      </w:r>
      <w:r>
        <w:rPr>
          <w:rFonts w:hint="eastAsia" w:ascii="仿宋" w:hAnsi="仿宋" w:eastAsia="仿宋" w:cs="仿宋"/>
          <w:bCs/>
          <w:sz w:val="32"/>
          <w:szCs w:val="32"/>
        </w:rPr>
        <w:t>、ISO9000、ISO14000、OHSAS18000相关术语介绍、标准解析与应用；</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三）</w:t>
      </w:r>
      <w:r>
        <w:rPr>
          <w:rFonts w:hint="eastAsia" w:ascii="仿宋" w:hAnsi="仿宋" w:eastAsia="仿宋" w:cs="仿宋"/>
          <w:bCs/>
          <w:sz w:val="32"/>
          <w:szCs w:val="32"/>
        </w:rPr>
        <w:t>、法律法规及其它要求介绍；</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四）</w:t>
      </w:r>
      <w:r>
        <w:rPr>
          <w:rFonts w:hint="eastAsia" w:ascii="仿宋" w:hAnsi="仿宋" w:eastAsia="仿宋" w:cs="仿宋"/>
          <w:bCs/>
          <w:sz w:val="32"/>
          <w:szCs w:val="32"/>
        </w:rPr>
        <w:t>、内部审核要求及审核技巧训练；</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五）</w:t>
      </w:r>
      <w:r>
        <w:rPr>
          <w:rFonts w:hint="eastAsia" w:ascii="仿宋" w:hAnsi="仿宋" w:eastAsia="仿宋" w:cs="仿宋"/>
          <w:bCs/>
          <w:sz w:val="32"/>
          <w:szCs w:val="32"/>
        </w:rPr>
        <w:t>、质量、环境、职业健康安全管理体系的建立与实施；</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六）</w:t>
      </w:r>
      <w:r>
        <w:rPr>
          <w:rFonts w:hint="eastAsia" w:ascii="仿宋" w:hAnsi="仿宋" w:eastAsia="仿宋" w:cs="仿宋"/>
          <w:bCs/>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"http://www.ts16949cn.com/iso/news.php?lang=cn&amp;class2=221" \t "http://www.ts16949cn.com/ehs-special/_blank" \o "ISO9001认证"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ISO9001</w:t>
      </w:r>
      <w:r>
        <w:rPr>
          <w:rFonts w:hint="eastAsia" w:ascii="仿宋" w:hAnsi="仿宋" w:eastAsia="仿宋" w:cs="仿宋"/>
          <w:bCs/>
          <w:sz w:val="32"/>
          <w:szCs w:val="32"/>
        </w:rPr>
        <w:fldChar w:fldCharType="end"/>
      </w:r>
      <w:r>
        <w:rPr>
          <w:rFonts w:hint="eastAsia" w:ascii="仿宋" w:hAnsi="仿宋" w:eastAsia="仿宋" w:cs="仿宋"/>
          <w:bCs/>
          <w:sz w:val="32"/>
          <w:szCs w:val="32"/>
        </w:rPr>
        <w:t>:2015、ISO14001：2015实施要点与</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"http://www.ts16949cn.com/iso/news.php?lang=cn&amp;class2=221" \t "http://www.ts16949cn.com/ehs-special/_blank" \o "ISO9001认证"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ISO9001</w:t>
      </w:r>
      <w:r>
        <w:rPr>
          <w:rFonts w:hint="eastAsia" w:ascii="仿宋" w:hAnsi="仿宋" w:eastAsia="仿宋" w:cs="仿宋"/>
          <w:bCs/>
          <w:sz w:val="32"/>
          <w:szCs w:val="32"/>
        </w:rPr>
        <w:fldChar w:fldCharType="end"/>
      </w:r>
      <w:r>
        <w:rPr>
          <w:rFonts w:hint="eastAsia" w:ascii="仿宋" w:hAnsi="仿宋" w:eastAsia="仿宋" w:cs="仿宋"/>
          <w:bCs/>
          <w:sz w:val="32"/>
          <w:szCs w:val="32"/>
        </w:rPr>
        <w:t>:2008、ISO14001：2004版标准对照；</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七）</w:t>
      </w:r>
      <w:r>
        <w:rPr>
          <w:rFonts w:hint="eastAsia" w:ascii="仿宋" w:hAnsi="仿宋" w:eastAsia="仿宋" w:cs="仿宋"/>
          <w:bCs/>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"http://www.ts16949cn.com/iso/news.php?lang=cn&amp;class2=221" \t "http://www.ts16949cn.com/ehs-special/_blank" \o "ISO9001认证"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ISO9001</w:t>
      </w:r>
      <w:r>
        <w:rPr>
          <w:rFonts w:hint="eastAsia" w:ascii="仿宋" w:hAnsi="仿宋" w:eastAsia="仿宋" w:cs="仿宋"/>
          <w:bCs/>
          <w:sz w:val="32"/>
          <w:szCs w:val="32"/>
        </w:rPr>
        <w:fldChar w:fldCharType="end"/>
      </w:r>
      <w:r>
        <w:rPr>
          <w:rFonts w:hint="eastAsia" w:ascii="仿宋" w:hAnsi="仿宋" w:eastAsia="仿宋" w:cs="仿宋"/>
          <w:bCs/>
          <w:sz w:val="32"/>
          <w:szCs w:val="32"/>
        </w:rPr>
        <w:t>:2015、 ISO14001：2015对部分修订条款内容的分析；</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八）</w:t>
      </w:r>
      <w:r>
        <w:rPr>
          <w:rFonts w:hint="eastAsia" w:ascii="仿宋" w:hAnsi="仿宋" w:eastAsia="仿宋" w:cs="仿宋"/>
          <w:bCs/>
          <w:sz w:val="32"/>
          <w:szCs w:val="32"/>
        </w:rPr>
        <w:t>、企业改版过渡需做的工作等。</w:t>
      </w:r>
    </w:p>
    <w:p>
      <w:pPr>
        <w:numPr>
          <w:ilvl w:val="0"/>
          <w:numId w:val="0"/>
        </w:num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培训时间</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日—</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23</w:t>
      </w:r>
      <w:r>
        <w:rPr>
          <w:rFonts w:hint="eastAsia" w:ascii="仿宋" w:hAnsi="仿宋" w:eastAsia="仿宋" w:cs="仿宋"/>
          <w:color w:val="333333"/>
          <w:kern w:val="0"/>
          <w:sz w:val="32"/>
          <w:szCs w:val="32"/>
        </w:rPr>
        <w:t>日，共4天; 报到时间：</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日8:30 前</w:t>
      </w:r>
    </w:p>
    <w:p>
      <w:pPr>
        <w:widowControl/>
        <w:spacing w:line="38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上午8：30—12：00；下午：1：30--5：00。其中：单质量：</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 xml:space="preserve">月 </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日</w:t>
      </w:r>
      <w:r>
        <w:rPr>
          <w:rFonts w:hint="eastAsia" w:ascii="仿宋" w:hAnsi="仿宋" w:eastAsia="仿宋" w:cs="仿宋"/>
          <w:color w:val="333333"/>
          <w:kern w:val="0"/>
          <w:sz w:val="32"/>
          <w:szCs w:val="32"/>
          <w:lang w:val="en-US" w:eastAsia="zh-CN"/>
        </w:rPr>
        <w:t>-6月21日</w:t>
      </w:r>
      <w:r>
        <w:rPr>
          <w:rFonts w:hint="eastAsia" w:ascii="仿宋" w:hAnsi="仿宋" w:eastAsia="仿宋" w:cs="仿宋"/>
          <w:color w:val="333333"/>
          <w:kern w:val="0"/>
          <w:sz w:val="32"/>
          <w:szCs w:val="32"/>
        </w:rPr>
        <w:t>。</w:t>
      </w:r>
    </w:p>
    <w:p>
      <w:pPr>
        <w:numPr>
          <w:ilvl w:val="0"/>
          <w:numId w:val="0"/>
        </w:numPr>
        <w:spacing w:line="560" w:lineRule="exact"/>
        <w:ind w:right="281" w:rightChars="134" w:firstLine="643" w:firstLineChars="200"/>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六、培训地点</w:t>
      </w:r>
    </w:p>
    <w:p>
      <w:pPr>
        <w:numPr>
          <w:ilvl w:val="0"/>
          <w:numId w:val="0"/>
        </w:numPr>
        <w:spacing w:line="560" w:lineRule="exact"/>
        <w:ind w:right="281" w:rightChars="134"/>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    </w:t>
      </w:r>
      <w:r>
        <w:rPr>
          <w:rFonts w:hint="eastAsia" w:ascii="仿宋" w:hAnsi="仿宋" w:eastAsia="仿宋" w:cs="仿宋"/>
          <w:b w:val="0"/>
          <w:bCs/>
          <w:sz w:val="32"/>
          <w:szCs w:val="32"/>
          <w:lang w:val="en-US" w:eastAsia="zh-CN"/>
        </w:rPr>
        <w:t>培训地点待定。</w:t>
      </w:r>
    </w:p>
    <w:p>
      <w:pPr>
        <w:spacing w:line="560" w:lineRule="exact"/>
        <w:ind w:right="281" w:rightChars="134" w:firstLine="643" w:firstLineChars="200"/>
        <w:rPr>
          <w:rFonts w:hint="eastAsia" w:ascii="仿宋" w:hAnsi="仿宋" w:eastAsia="仿宋" w:cs="仿宋"/>
          <w:bCs/>
          <w:sz w:val="32"/>
          <w:szCs w:val="32"/>
        </w:rPr>
      </w:pP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rPr>
        <w:t>培训费用</w:t>
      </w:r>
      <w:r>
        <w:rPr>
          <w:rFonts w:hint="eastAsia" w:ascii="仿宋" w:hAnsi="仿宋" w:eastAsia="仿宋" w:cs="仿宋"/>
          <w:bCs/>
          <w:sz w:val="32"/>
          <w:szCs w:val="32"/>
        </w:rPr>
        <w:t xml:space="preserve"> （含教材、授课、证书费等，不含食宿） </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单体培训700元/人（质量管理体系）</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双体培训1200元/人（质量与环境、质量与安全、环境与安全）</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三体培训1500元/人（质量、环境、安全三个体系）</w:t>
      </w:r>
    </w:p>
    <w:p>
      <w:pPr>
        <w:numPr>
          <w:ilvl w:val="0"/>
          <w:numId w:val="2"/>
        </w:num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培训收获</w:t>
      </w:r>
      <w:r>
        <w:rPr>
          <w:rFonts w:hint="eastAsia" w:ascii="仿宋" w:hAnsi="仿宋" w:eastAsia="仿宋" w:cs="仿宋"/>
          <w:b/>
          <w:bCs w:val="0"/>
          <w:sz w:val="32"/>
          <w:szCs w:val="32"/>
        </w:rPr>
        <w:t xml:space="preserve">  </w:t>
      </w:r>
    </w:p>
    <w:p>
      <w:pPr>
        <w:numPr>
          <w:ilvl w:val="0"/>
          <w:numId w:val="0"/>
        </w:numPr>
        <w:spacing w:line="560" w:lineRule="exact"/>
        <w:ind w:right="281" w:rightChars="134"/>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完成所有培训课程并考试合格者，颁发质量、环境、安全管理体系内审员培训合格证书。</w:t>
      </w:r>
      <w:r>
        <w:rPr>
          <w:rFonts w:hint="eastAsia" w:ascii="仿宋" w:hAnsi="仿宋" w:eastAsia="仿宋" w:cs="仿宋"/>
          <w:bCs/>
          <w:sz w:val="32"/>
          <w:szCs w:val="32"/>
        </w:rPr>
        <w:t xml:space="preserve">         </w:t>
      </w:r>
    </w:p>
    <w:p>
      <w:p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九、</w:t>
      </w:r>
      <w:r>
        <w:rPr>
          <w:rFonts w:hint="eastAsia" w:ascii="仿宋" w:hAnsi="仿宋" w:eastAsia="仿宋" w:cs="仿宋"/>
          <w:b/>
          <w:bCs w:val="0"/>
          <w:sz w:val="32"/>
          <w:szCs w:val="32"/>
        </w:rPr>
        <w:t>报名及缴费</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请于</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19</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"mailto:日前将报名表发到jnpinpai@163.com邮箱，同步缴纳培训费用，报名确认以银行转账到账为准，参加学习时，请带一张免冠照片；"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日前将报名表发到jnpinpai@163.com邮箱，同步缴纳培训费用，报名确认以银行转账到账为准，参加学习时，请带一张免冠照片；</w:t>
      </w:r>
      <w:r>
        <w:rPr>
          <w:rFonts w:hint="eastAsia" w:ascii="仿宋" w:hAnsi="仿宋" w:eastAsia="仿宋" w:cs="仿宋"/>
          <w:bCs/>
          <w:sz w:val="32"/>
          <w:szCs w:val="32"/>
        </w:rPr>
        <w:fldChar w:fldCharType="end"/>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开户名称：济宁市</w:t>
      </w:r>
      <w:r>
        <w:rPr>
          <w:rFonts w:hint="eastAsia" w:ascii="仿宋" w:hAnsi="仿宋" w:eastAsia="仿宋" w:cs="仿宋"/>
          <w:bCs/>
          <w:sz w:val="32"/>
          <w:szCs w:val="32"/>
          <w:lang w:eastAsia="zh-CN"/>
        </w:rPr>
        <w:t>经济和信息化研究院</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开户银行：济宁银行股份有限公司市北支行</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银行账号：815010</w:t>
      </w:r>
      <w:r>
        <w:rPr>
          <w:rFonts w:hint="eastAsia" w:ascii="仿宋" w:hAnsi="仿宋" w:eastAsia="仿宋" w:cs="仿宋"/>
          <w:bCs/>
          <w:sz w:val="32"/>
          <w:szCs w:val="32"/>
          <w:lang w:val="en-US" w:eastAsia="zh-CN"/>
        </w:rPr>
        <w:t>701451007513</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转账时请注明：企业管理体系内审员培训费用</w:t>
      </w:r>
      <w:r>
        <w:rPr>
          <w:rFonts w:hint="eastAsia" w:ascii="仿宋" w:hAnsi="仿宋" w:eastAsia="仿宋" w:cs="仿宋"/>
          <w:bCs/>
          <w:sz w:val="32"/>
          <w:szCs w:val="32"/>
          <w:lang w:eastAsia="zh-CN"/>
        </w:rPr>
        <w:t>并注明单位名称及人数</w:t>
      </w:r>
      <w:r>
        <w:rPr>
          <w:rFonts w:hint="eastAsia" w:ascii="仿宋" w:hAnsi="仿宋" w:eastAsia="仿宋" w:cs="仿宋"/>
          <w:bCs/>
          <w:sz w:val="32"/>
          <w:szCs w:val="32"/>
        </w:rPr>
        <w:t>，不接受现场缴费</w:t>
      </w:r>
    </w:p>
    <w:p>
      <w:pPr>
        <w:spacing w:line="560" w:lineRule="exact"/>
        <w:ind w:right="281" w:rightChars="134"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联系方式</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联系人：程海荣 姚远</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rPr>
        <w:t>联系电话：13563738023 15265772444</w:t>
      </w:r>
      <w:r>
        <w:rPr>
          <w:rFonts w:hint="eastAsia" w:ascii="仿宋" w:hAnsi="仿宋" w:eastAsia="仿宋" w:cs="仿宋"/>
          <w:bCs/>
          <w:sz w:val="32"/>
          <w:szCs w:val="32"/>
          <w:lang w:val="pt-BR"/>
        </w:rPr>
        <w:t xml:space="preserve"> </w:t>
      </w:r>
      <w:r>
        <w:rPr>
          <w:rFonts w:hint="eastAsia" w:ascii="仿宋" w:hAnsi="仿宋" w:eastAsia="仿宋" w:cs="仿宋"/>
          <w:bCs/>
          <w:sz w:val="32"/>
          <w:szCs w:val="32"/>
          <w:lang w:val="en-US" w:eastAsia="zh-CN"/>
        </w:rPr>
        <w:t>2580803</w:t>
      </w:r>
      <w:r>
        <w:rPr>
          <w:rFonts w:hint="eastAsia" w:ascii="仿宋" w:hAnsi="仿宋" w:eastAsia="仿宋" w:cs="仿宋"/>
          <w:bCs/>
          <w:sz w:val="32"/>
          <w:szCs w:val="32"/>
          <w:lang w:val="pt-BR"/>
        </w:rPr>
        <w:t xml:space="preserve">                         </w:t>
      </w:r>
    </w:p>
    <w:p>
      <w:pPr>
        <w:spacing w:line="560" w:lineRule="exact"/>
        <w:ind w:right="281" w:rightChars="134" w:firstLine="640" w:firstLineChars="200"/>
        <w:rPr>
          <w:rFonts w:hint="eastAsia" w:ascii="仿宋" w:hAnsi="仿宋" w:eastAsia="仿宋" w:cs="仿宋"/>
          <w:bCs/>
          <w:sz w:val="32"/>
          <w:szCs w:val="32"/>
        </w:rPr>
      </w:pPr>
      <w:r>
        <w:rPr>
          <w:rFonts w:hint="eastAsia" w:ascii="仿宋" w:hAnsi="仿宋" w:eastAsia="仿宋" w:cs="仿宋"/>
          <w:bCs/>
          <w:sz w:val="32"/>
          <w:szCs w:val="32"/>
          <w:lang w:val="pt-BR"/>
        </w:rPr>
        <w:t>mail:</w:t>
      </w:r>
      <w:r>
        <w:rPr>
          <w:rFonts w:hint="eastAsia" w:ascii="仿宋" w:hAnsi="仿宋" w:eastAsia="仿宋" w:cs="仿宋"/>
          <w:bCs/>
          <w:sz w:val="32"/>
          <w:szCs w:val="32"/>
        </w:rPr>
        <w:t>jnpinpai@163.com</w:t>
      </w:r>
    </w:p>
    <w:p>
      <w:pPr>
        <w:spacing w:line="240" w:lineRule="auto"/>
        <w:ind w:right="281" w:rightChars="134"/>
        <w:jc w:val="both"/>
        <w:rPr>
          <w:rFonts w:hint="eastAsia" w:ascii="仿宋" w:hAnsi="仿宋" w:eastAsia="仿宋" w:cs="仿宋"/>
          <w:bCs/>
          <w:sz w:val="32"/>
          <w:szCs w:val="32"/>
          <w:lang w:val="pt-BR" w:eastAsia="zh-CN"/>
        </w:rPr>
      </w:pPr>
      <w:r>
        <w:rPr>
          <w:rFonts w:hint="eastAsia" w:ascii="仿宋" w:hAnsi="仿宋" w:eastAsia="仿宋" w:cs="仿宋"/>
          <w:bCs/>
          <w:sz w:val="32"/>
          <w:szCs w:val="32"/>
          <w:lang w:val="pt-BR" w:eastAsia="zh-CN"/>
        </w:rPr>
        <w:drawing>
          <wp:inline distT="0" distB="0" distL="114300" distR="114300">
            <wp:extent cx="5160010" cy="4535170"/>
            <wp:effectExtent l="0" t="0" r="2540" b="0"/>
            <wp:docPr id="3" name="图片 3" descr="济宁市经济和信息化研究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济宁市经济和信息化研究院文件"/>
                    <pic:cNvPicPr>
                      <a:picLocks noChangeAspect="1"/>
                    </pic:cNvPicPr>
                  </pic:nvPicPr>
                  <pic:blipFill>
                    <a:blip r:embed="rId4"/>
                    <a:stretch>
                      <a:fillRect/>
                    </a:stretch>
                  </pic:blipFill>
                  <pic:spPr>
                    <a:xfrm>
                      <a:off x="0" y="0"/>
                      <a:ext cx="5160010" cy="4535170"/>
                    </a:xfrm>
                    <a:prstGeom prst="rect">
                      <a:avLst/>
                    </a:prstGeom>
                  </pic:spPr>
                </pic:pic>
              </a:graphicData>
            </a:graphic>
          </wp:inline>
        </w:drawing>
      </w:r>
    </w:p>
    <w:p>
      <w:pPr>
        <w:rPr>
          <w:rFonts w:hint="eastAsia" w:eastAsia="宋体"/>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大标宋">
    <w:altName w:val="宋体"/>
    <w:panose1 w:val="00000000000000000000"/>
    <w:charset w:val="00"/>
    <w:family w:val="auto"/>
    <w:pitch w:val="default"/>
    <w:sig w:usb0="00000000" w:usb1="00000000" w:usb2="00000000"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BEE32"/>
    <w:multiLevelType w:val="singleLevel"/>
    <w:tmpl w:val="967BEE32"/>
    <w:lvl w:ilvl="0" w:tentative="0">
      <w:start w:val="1"/>
      <w:numFmt w:val="chineseCounting"/>
      <w:suff w:val="nothing"/>
      <w:lvlText w:val="%1、"/>
      <w:lvlJc w:val="left"/>
      <w:rPr>
        <w:rFonts w:hint="eastAsia"/>
      </w:rPr>
    </w:lvl>
  </w:abstractNum>
  <w:abstractNum w:abstractNumId="1">
    <w:nsid w:val="18C5A14E"/>
    <w:multiLevelType w:val="singleLevel"/>
    <w:tmpl w:val="18C5A14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06345"/>
    <w:rsid w:val="36E949B5"/>
    <w:rsid w:val="56C06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983</Words>
  <Characters>1236</Characters>
  <Lines>0</Lines>
  <Paragraphs>0</Paragraphs>
  <TotalTime>3</TotalTime>
  <ScaleCrop>false</ScaleCrop>
  <LinksUpToDate>false</LinksUpToDate>
  <CharactersWithSpaces>1291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2018-06-12T09:49:00Z</dcterms:created>
  <dc:creator>忍冬</dc:creator>
  <cp:lastModifiedBy>忍冬</cp:lastModifiedBy>
  <dcterms:modified xsi:type="dcterms:W3CDTF">2018-06-12T09:56:58Z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